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8B2EC">
      <w:pPr>
        <w:tabs>
          <w:tab w:val="right" w:pos="5670"/>
          <w:tab w:val="right" w:pos="7980"/>
        </w:tabs>
        <w:spacing w:line="360" w:lineRule="auto"/>
        <w:jc w:val="center"/>
        <w:outlineLvl w:val="0"/>
        <w:rPr>
          <w:rFonts w:eastAsia="黑体"/>
          <w:sz w:val="20"/>
          <w:szCs w:val="20"/>
        </w:rPr>
      </w:pPr>
      <w:bookmarkStart w:id="5" w:name="_GoBack"/>
      <w:bookmarkEnd w:id="5"/>
    </w:p>
    <w:p w14:paraId="235CB0A1">
      <w:pPr>
        <w:tabs>
          <w:tab w:val="right" w:pos="5670"/>
          <w:tab w:val="right" w:pos="7980"/>
        </w:tabs>
        <w:spacing w:line="360" w:lineRule="auto"/>
        <w:jc w:val="center"/>
        <w:outlineLvl w:val="0"/>
        <w:rPr>
          <w:rFonts w:eastAsia="黑体"/>
          <w:sz w:val="20"/>
          <w:szCs w:val="20"/>
        </w:rPr>
      </w:pPr>
    </w:p>
    <w:p w14:paraId="30155A19">
      <w:pPr>
        <w:tabs>
          <w:tab w:val="right" w:pos="5670"/>
          <w:tab w:val="right" w:pos="7980"/>
        </w:tabs>
        <w:spacing w:line="360" w:lineRule="auto"/>
        <w:jc w:val="center"/>
        <w:outlineLvl w:val="0"/>
        <w:rPr>
          <w:rFonts w:eastAsia="黑体"/>
          <w:sz w:val="20"/>
          <w:szCs w:val="20"/>
        </w:rPr>
      </w:pPr>
    </w:p>
    <w:p w14:paraId="0A1D94A4">
      <w:pPr>
        <w:tabs>
          <w:tab w:val="right" w:pos="5670"/>
          <w:tab w:val="right" w:pos="7980"/>
        </w:tabs>
        <w:spacing w:line="360" w:lineRule="auto"/>
        <w:jc w:val="center"/>
        <w:outlineLvl w:val="0"/>
        <w:rPr>
          <w:rFonts w:eastAsia="黑体"/>
          <w:sz w:val="20"/>
          <w:szCs w:val="20"/>
        </w:rPr>
      </w:pPr>
    </w:p>
    <w:p w14:paraId="0626ABE4">
      <w:pPr>
        <w:tabs>
          <w:tab w:val="right" w:pos="5670"/>
          <w:tab w:val="right" w:pos="7980"/>
        </w:tabs>
        <w:spacing w:line="360" w:lineRule="auto"/>
        <w:jc w:val="center"/>
        <w:outlineLvl w:val="0"/>
        <w:rPr>
          <w:rFonts w:eastAsia="黑体"/>
          <w:sz w:val="20"/>
          <w:szCs w:val="20"/>
        </w:rPr>
      </w:pPr>
    </w:p>
    <w:p w14:paraId="710F0D4C">
      <w:pPr>
        <w:tabs>
          <w:tab w:val="right" w:pos="5670"/>
          <w:tab w:val="right" w:pos="7980"/>
        </w:tabs>
        <w:spacing w:line="360" w:lineRule="auto"/>
        <w:jc w:val="center"/>
        <w:outlineLvl w:val="0"/>
        <w:rPr>
          <w:rFonts w:eastAsia="黑体"/>
          <w:sz w:val="20"/>
          <w:szCs w:val="20"/>
        </w:rPr>
      </w:pPr>
    </w:p>
    <w:p w14:paraId="76E1E3DE">
      <w:pPr>
        <w:tabs>
          <w:tab w:val="right" w:pos="5670"/>
          <w:tab w:val="right" w:pos="7980"/>
        </w:tabs>
        <w:spacing w:line="360" w:lineRule="auto"/>
        <w:jc w:val="center"/>
        <w:outlineLvl w:val="0"/>
        <w:rPr>
          <w:rFonts w:eastAsia="黑体"/>
          <w:sz w:val="20"/>
          <w:szCs w:val="20"/>
        </w:rPr>
      </w:pPr>
    </w:p>
    <w:p w14:paraId="741C3FD4">
      <w:pPr>
        <w:tabs>
          <w:tab w:val="right" w:pos="5670"/>
          <w:tab w:val="right" w:pos="7980"/>
        </w:tabs>
        <w:spacing w:line="360" w:lineRule="auto"/>
        <w:jc w:val="center"/>
        <w:outlineLvl w:val="0"/>
        <w:rPr>
          <w:rFonts w:eastAsia="黑体"/>
          <w:sz w:val="20"/>
          <w:szCs w:val="20"/>
        </w:rPr>
      </w:pPr>
    </w:p>
    <w:p w14:paraId="5087FA57">
      <w:pPr>
        <w:tabs>
          <w:tab w:val="right" w:pos="5670"/>
          <w:tab w:val="right" w:pos="7980"/>
        </w:tabs>
        <w:spacing w:line="360" w:lineRule="auto"/>
        <w:jc w:val="center"/>
        <w:outlineLvl w:val="0"/>
        <w:rPr>
          <w:rFonts w:eastAsia="黑体"/>
          <w:sz w:val="20"/>
          <w:szCs w:val="20"/>
        </w:rPr>
      </w:pPr>
    </w:p>
    <w:p w14:paraId="7E17B977">
      <w:pPr>
        <w:tabs>
          <w:tab w:val="right" w:pos="5670"/>
          <w:tab w:val="right" w:pos="7980"/>
        </w:tabs>
        <w:spacing w:line="360" w:lineRule="auto"/>
        <w:jc w:val="center"/>
        <w:outlineLvl w:val="0"/>
        <w:rPr>
          <w:rFonts w:eastAsia="黑体"/>
          <w:sz w:val="20"/>
          <w:szCs w:val="20"/>
        </w:rPr>
      </w:pPr>
    </w:p>
    <w:p w14:paraId="03D953E6">
      <w:pPr>
        <w:tabs>
          <w:tab w:val="right" w:pos="5670"/>
          <w:tab w:val="right" w:pos="7980"/>
        </w:tabs>
        <w:spacing w:line="360" w:lineRule="auto"/>
        <w:jc w:val="center"/>
        <w:outlineLvl w:val="0"/>
        <w:rPr>
          <w:rFonts w:eastAsia="黑体"/>
          <w:sz w:val="20"/>
          <w:szCs w:val="20"/>
        </w:rPr>
      </w:pPr>
    </w:p>
    <w:p w14:paraId="0F8A723B">
      <w:pPr>
        <w:tabs>
          <w:tab w:val="right" w:pos="5670"/>
          <w:tab w:val="right" w:pos="7980"/>
        </w:tabs>
        <w:spacing w:line="360" w:lineRule="auto"/>
        <w:jc w:val="center"/>
        <w:outlineLvl w:val="0"/>
        <w:rPr>
          <w:rFonts w:eastAsia="黑体"/>
          <w:sz w:val="20"/>
          <w:szCs w:val="20"/>
        </w:rPr>
      </w:pPr>
    </w:p>
    <w:p w14:paraId="11537BC4">
      <w:pPr>
        <w:tabs>
          <w:tab w:val="right" w:pos="5670"/>
          <w:tab w:val="right" w:pos="7980"/>
        </w:tabs>
        <w:spacing w:line="360" w:lineRule="auto"/>
        <w:jc w:val="center"/>
        <w:outlineLvl w:val="0"/>
        <w:rPr>
          <w:rFonts w:eastAsia="黑体"/>
          <w:sz w:val="72"/>
          <w:szCs w:val="72"/>
        </w:rPr>
      </w:pPr>
      <w:r>
        <w:rPr>
          <w:rFonts w:hint="eastAsia" w:eastAsia="黑体"/>
          <w:sz w:val="72"/>
          <w:szCs w:val="72"/>
        </w:rPr>
        <w:t>合  同  书</w:t>
      </w:r>
    </w:p>
    <w:p w14:paraId="455E0D75">
      <w:pPr>
        <w:tabs>
          <w:tab w:val="right" w:pos="5670"/>
          <w:tab w:val="right" w:pos="7980"/>
        </w:tabs>
        <w:spacing w:line="360" w:lineRule="auto"/>
        <w:jc w:val="center"/>
        <w:rPr>
          <w:rFonts w:eastAsia="黑体"/>
          <w:sz w:val="44"/>
          <w:szCs w:val="44"/>
        </w:rPr>
      </w:pPr>
    </w:p>
    <w:p w14:paraId="01769E90">
      <w:pPr>
        <w:tabs>
          <w:tab w:val="right" w:pos="5670"/>
          <w:tab w:val="right" w:pos="7980"/>
        </w:tabs>
        <w:spacing w:line="360" w:lineRule="auto"/>
        <w:jc w:val="center"/>
        <w:rPr>
          <w:rFonts w:eastAsia="黑体"/>
          <w:sz w:val="44"/>
          <w:szCs w:val="44"/>
        </w:rPr>
      </w:pPr>
    </w:p>
    <w:p w14:paraId="5AF94D6C">
      <w:pPr>
        <w:tabs>
          <w:tab w:val="right" w:pos="5670"/>
          <w:tab w:val="right" w:pos="7980"/>
        </w:tabs>
        <w:spacing w:line="360" w:lineRule="auto"/>
        <w:jc w:val="center"/>
        <w:rPr>
          <w:rFonts w:eastAsia="黑体"/>
          <w:sz w:val="44"/>
          <w:szCs w:val="44"/>
        </w:rPr>
      </w:pPr>
    </w:p>
    <w:p w14:paraId="5EA988D5">
      <w:pPr>
        <w:tabs>
          <w:tab w:val="right" w:pos="5670"/>
          <w:tab w:val="right" w:pos="7980"/>
        </w:tabs>
        <w:spacing w:line="360" w:lineRule="auto"/>
        <w:rPr>
          <w:rFonts w:eastAsia="黑体"/>
          <w:sz w:val="44"/>
          <w:szCs w:val="44"/>
        </w:rPr>
      </w:pPr>
    </w:p>
    <w:p w14:paraId="54AB0A63">
      <w:pPr>
        <w:tabs>
          <w:tab w:val="right" w:pos="5670"/>
          <w:tab w:val="right" w:pos="7980"/>
        </w:tabs>
        <w:spacing w:line="360" w:lineRule="auto"/>
        <w:rPr>
          <w:rFonts w:eastAsia="黑体"/>
          <w:sz w:val="44"/>
          <w:szCs w:val="44"/>
        </w:rPr>
      </w:pPr>
    </w:p>
    <w:p w14:paraId="5ABF3470">
      <w:pPr>
        <w:tabs>
          <w:tab w:val="right" w:pos="5670"/>
          <w:tab w:val="right" w:pos="7980"/>
        </w:tabs>
        <w:spacing w:line="360" w:lineRule="auto"/>
        <w:jc w:val="center"/>
        <w:rPr>
          <w:rFonts w:eastAsia="黑体"/>
          <w:sz w:val="44"/>
          <w:szCs w:val="44"/>
        </w:rPr>
      </w:pPr>
    </w:p>
    <w:p w14:paraId="4CD4623A">
      <w:pPr>
        <w:tabs>
          <w:tab w:val="right" w:pos="5670"/>
          <w:tab w:val="right" w:pos="7980"/>
        </w:tabs>
        <w:spacing w:line="360" w:lineRule="auto"/>
        <w:outlineLvl w:val="0"/>
        <w:rPr>
          <w:rFonts w:ascii="楷体_GB2312" w:eastAsia="楷体_GB2312"/>
          <w:sz w:val="30"/>
          <w:szCs w:val="30"/>
          <w:u w:val="single"/>
        </w:rPr>
      </w:pPr>
      <w:r>
        <w:rPr>
          <w:rFonts w:hint="eastAsia" w:ascii="楷体_GB2312" w:hAnsi="楷体" w:eastAsia="楷体_GB2312"/>
          <w:b/>
          <w:spacing w:val="126"/>
          <w:sz w:val="30"/>
          <w:szCs w:val="30"/>
        </w:rPr>
        <w:t>项目名</w:t>
      </w:r>
      <w:r>
        <w:rPr>
          <w:rFonts w:hint="eastAsia" w:ascii="楷体_GB2312" w:hAnsi="楷体" w:eastAsia="楷体_GB2312"/>
          <w:b/>
          <w:sz w:val="30"/>
          <w:szCs w:val="30"/>
        </w:rPr>
        <w:t>称：</w:t>
      </w:r>
      <w:r>
        <w:rPr>
          <w:rFonts w:hint="eastAsia" w:ascii="楷体_GB2312" w:eastAsia="楷体_GB2312"/>
          <w:sz w:val="30"/>
          <w:szCs w:val="30"/>
          <w:u w:val="single"/>
        </w:rPr>
        <w:t xml:space="preserve">  </w:t>
      </w:r>
      <w:r>
        <w:rPr>
          <w:rFonts w:hint="eastAsia" w:ascii="楷体_GB2312" w:eastAsia="楷体_GB2312"/>
          <w:sz w:val="30"/>
          <w:szCs w:val="30"/>
          <w:u w:val="single"/>
          <w:lang w:val="en-US" w:eastAsia="zh-CN"/>
        </w:rPr>
        <w:t xml:space="preserve">                                </w:t>
      </w:r>
      <w:r>
        <w:rPr>
          <w:rFonts w:hint="eastAsia" w:ascii="楷体_GB2312" w:eastAsia="楷体_GB2312"/>
          <w:b/>
          <w:sz w:val="30"/>
          <w:szCs w:val="30"/>
          <w:u w:val="single"/>
        </w:rPr>
        <w:t xml:space="preserve"> </w:t>
      </w:r>
      <w:r>
        <w:rPr>
          <w:rFonts w:ascii="楷体_GB2312" w:eastAsia="楷体_GB2312"/>
          <w:b/>
          <w:sz w:val="30"/>
          <w:szCs w:val="30"/>
          <w:u w:val="single"/>
        </w:rPr>
        <w:t xml:space="preserve">  </w:t>
      </w:r>
      <w:r>
        <w:rPr>
          <w:rFonts w:hint="eastAsia" w:ascii="楷体_GB2312" w:eastAsia="楷体_GB2312"/>
          <w:b/>
          <w:sz w:val="30"/>
          <w:szCs w:val="30"/>
          <w:u w:val="single"/>
          <w:lang w:val="en-US" w:eastAsia="zh-CN"/>
        </w:rPr>
        <w:t xml:space="preserve">     </w:t>
      </w:r>
      <w:r>
        <w:rPr>
          <w:rFonts w:hint="eastAsia" w:ascii="楷体_GB2312" w:eastAsia="楷体_GB2312"/>
          <w:b/>
          <w:sz w:val="30"/>
          <w:szCs w:val="30"/>
          <w:u w:val="single"/>
        </w:rPr>
        <w:t xml:space="preserve"> </w:t>
      </w:r>
      <w:r>
        <w:rPr>
          <w:rFonts w:hint="eastAsia" w:ascii="楷体_GB2312" w:eastAsia="楷体_GB2312"/>
          <w:sz w:val="30"/>
          <w:szCs w:val="30"/>
          <w:u w:val="single"/>
        </w:rPr>
        <w:t xml:space="preserve">   </w:t>
      </w:r>
    </w:p>
    <w:p w14:paraId="1B65CBE9">
      <w:pPr>
        <w:tabs>
          <w:tab w:val="right" w:pos="5670"/>
          <w:tab w:val="right" w:pos="7980"/>
        </w:tabs>
        <w:spacing w:line="360" w:lineRule="auto"/>
        <w:outlineLvl w:val="0"/>
        <w:rPr>
          <w:rFonts w:ascii="楷体_GB2312" w:eastAsia="楷体_GB2312"/>
          <w:bCs/>
          <w:sz w:val="30"/>
          <w:szCs w:val="30"/>
          <w:u w:val="single"/>
        </w:rPr>
      </w:pPr>
      <w:r>
        <w:rPr>
          <w:rFonts w:hint="eastAsia" w:ascii="楷体_GB2312" w:eastAsia="楷体_GB2312"/>
          <w:b/>
          <w:sz w:val="30"/>
          <w:szCs w:val="30"/>
        </w:rPr>
        <w:t>委托方（甲方）：</w:t>
      </w:r>
      <w:r>
        <w:rPr>
          <w:rFonts w:hint="eastAsia" w:ascii="楷体_GB2312" w:eastAsia="楷体_GB2312"/>
          <w:sz w:val="30"/>
          <w:szCs w:val="30"/>
          <w:u w:val="single"/>
        </w:rPr>
        <w:t xml:space="preserve">   </w:t>
      </w:r>
      <w:r>
        <w:rPr>
          <w:rFonts w:hint="eastAsia" w:ascii="楷体_GB2312" w:eastAsia="楷体_GB2312"/>
          <w:b/>
          <w:sz w:val="30"/>
          <w:szCs w:val="30"/>
          <w:u w:val="single"/>
        </w:rPr>
        <w:t xml:space="preserve">西安大兴新区开发建设管理委员会 </w:t>
      </w:r>
      <w:r>
        <w:rPr>
          <w:rFonts w:hint="eastAsia" w:ascii="楷体_GB2312" w:eastAsia="楷体_GB2312"/>
          <w:sz w:val="30"/>
          <w:szCs w:val="30"/>
          <w:u w:val="single"/>
        </w:rPr>
        <w:t xml:space="preserve">    </w:t>
      </w:r>
    </w:p>
    <w:p w14:paraId="70BB40D8">
      <w:pPr>
        <w:autoSpaceDE w:val="0"/>
        <w:autoSpaceDN w:val="0"/>
        <w:spacing w:line="560" w:lineRule="exact"/>
        <w:rPr>
          <w:rFonts w:ascii="楷体_GB2312" w:eastAsia="楷体_GB2312"/>
          <w:sz w:val="30"/>
          <w:szCs w:val="30"/>
          <w:u w:val="single"/>
        </w:rPr>
      </w:pPr>
      <w:r>
        <w:rPr>
          <w:rFonts w:hint="eastAsia" w:ascii="楷体_GB2312" w:eastAsia="楷体_GB2312"/>
          <w:b/>
          <w:sz w:val="30"/>
          <w:szCs w:val="30"/>
        </w:rPr>
        <w:t>受托方（乙方）：</w:t>
      </w:r>
      <w:r>
        <w:rPr>
          <w:rFonts w:hint="eastAsia" w:ascii="楷体_GB2312" w:eastAsia="楷体_GB2312"/>
          <w:sz w:val="30"/>
          <w:szCs w:val="30"/>
          <w:u w:val="single"/>
        </w:rPr>
        <w:t xml:space="preserve">   </w:t>
      </w:r>
      <w:r>
        <w:rPr>
          <w:rFonts w:hint="eastAsia" w:ascii="楷体_GB2312" w:eastAsia="楷体_GB2312"/>
          <w:b/>
          <w:sz w:val="30"/>
          <w:szCs w:val="30"/>
          <w:u w:val="single"/>
          <w:lang w:val="en-US" w:eastAsia="zh-CN"/>
        </w:rPr>
        <w:t xml:space="preserve">                          </w:t>
      </w:r>
      <w:r>
        <w:rPr>
          <w:rFonts w:hint="eastAsia" w:ascii="楷体_GB2312" w:eastAsia="楷体_GB2312"/>
          <w:sz w:val="30"/>
          <w:szCs w:val="30"/>
          <w:u w:val="single"/>
        </w:rPr>
        <w:t xml:space="preserve">    </w:t>
      </w:r>
    </w:p>
    <w:p w14:paraId="025B61F3">
      <w:pPr>
        <w:rPr>
          <w:rFonts w:hint="eastAsia" w:ascii="方正小标宋简体" w:hAnsi="宋体" w:eastAsia="方正小标宋简体" w:cs="宋体"/>
          <w:bCs/>
          <w:color w:val="000000"/>
          <w:sz w:val="20"/>
          <w:szCs w:val="20"/>
        </w:rPr>
      </w:pPr>
      <w:r>
        <w:rPr>
          <w:rFonts w:hint="eastAsia" w:ascii="方正小标宋简体" w:hAnsi="宋体" w:eastAsia="方正小标宋简体" w:cs="宋体"/>
          <w:bCs/>
          <w:color w:val="000000"/>
          <w:sz w:val="20"/>
          <w:szCs w:val="20"/>
        </w:rPr>
        <w:br w:type="page"/>
      </w:r>
    </w:p>
    <w:p w14:paraId="6091A9F6">
      <w:pPr>
        <w:autoSpaceDE w:val="0"/>
        <w:autoSpaceDN w:val="0"/>
        <w:spacing w:after="0" w:line="560" w:lineRule="exact"/>
        <w:jc w:val="center"/>
        <w:rPr>
          <w:rFonts w:ascii="方正小标宋简体" w:hAnsi="宋体" w:eastAsia="方正小标宋简体" w:cs="宋体"/>
          <w:bCs/>
          <w:color w:val="000000"/>
          <w:sz w:val="20"/>
          <w:szCs w:val="20"/>
        </w:rPr>
      </w:pPr>
      <w:r>
        <w:rPr>
          <w:rFonts w:hint="eastAsia" w:ascii="方正小标宋简体" w:hAnsi="宋体" w:eastAsia="方正小标宋简体" w:cs="宋体"/>
          <w:bCs/>
          <w:color w:val="000000"/>
          <w:sz w:val="20"/>
          <w:szCs w:val="20"/>
        </w:rPr>
        <w:t>地价评估合同书</w:t>
      </w:r>
    </w:p>
    <w:p w14:paraId="63688393">
      <w:pPr>
        <w:autoSpaceDE w:val="0"/>
        <w:autoSpaceDN w:val="0"/>
        <w:spacing w:after="0" w:line="560" w:lineRule="exact"/>
        <w:rPr>
          <w:rFonts w:ascii="仿宋_GB2312" w:hAnsi="宋体" w:eastAsia="仿宋_GB2312" w:cs="宋体"/>
          <w:bCs/>
          <w:color w:val="000000"/>
          <w:sz w:val="20"/>
          <w:szCs w:val="20"/>
        </w:rPr>
      </w:pPr>
    </w:p>
    <w:p w14:paraId="0EB958B9">
      <w:pPr>
        <w:autoSpaceDE w:val="0"/>
        <w:autoSpaceDN w:val="0"/>
        <w:spacing w:after="0" w:line="560" w:lineRule="exact"/>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甲方（采购人）：</w:t>
      </w:r>
      <w:bookmarkStart w:id="0" w:name="_Hlk166659032"/>
      <w:r>
        <w:rPr>
          <w:rFonts w:hint="eastAsia" w:ascii="仿宋_GB2312" w:hAnsi="宋体" w:eastAsia="仿宋_GB2312" w:cs="宋体"/>
          <w:bCs/>
          <w:color w:val="000000"/>
          <w:sz w:val="20"/>
          <w:szCs w:val="20"/>
        </w:rPr>
        <w:t>西安大兴新区开发建设管理委员会</w:t>
      </w:r>
      <w:bookmarkEnd w:id="0"/>
    </w:p>
    <w:p w14:paraId="75549BF4">
      <w:pPr>
        <w:autoSpaceDE w:val="0"/>
        <w:autoSpaceDN w:val="0"/>
        <w:spacing w:after="0" w:line="560" w:lineRule="exact"/>
        <w:rPr>
          <w:rFonts w:hint="eastAsia" w:ascii="仿宋_GB2312" w:hAnsi="宋体" w:eastAsia="仿宋_GB2312" w:cs="宋体"/>
          <w:bCs/>
          <w:color w:val="000000"/>
          <w:sz w:val="20"/>
          <w:szCs w:val="20"/>
          <w:lang w:eastAsia="zh-CN"/>
        </w:rPr>
      </w:pPr>
      <w:r>
        <w:rPr>
          <w:rFonts w:hint="eastAsia" w:ascii="仿宋_GB2312" w:hAnsi="宋体" w:eastAsia="仿宋_GB2312" w:cs="宋体"/>
          <w:bCs/>
          <w:color w:val="000000"/>
          <w:sz w:val="20"/>
          <w:szCs w:val="20"/>
        </w:rPr>
        <w:t>乙方（中标人）：</w:t>
      </w:r>
      <w:r>
        <w:rPr>
          <w:rFonts w:hint="eastAsia" w:ascii="仿宋_GB2312" w:hAnsi="宋体" w:eastAsia="仿宋_GB2312" w:cs="宋体"/>
          <w:bCs/>
          <w:color w:val="000000"/>
          <w:sz w:val="20"/>
          <w:szCs w:val="20"/>
          <w:lang w:val="en-US" w:eastAsia="zh-CN"/>
        </w:rPr>
        <w:t xml:space="preserve"> </w:t>
      </w:r>
    </w:p>
    <w:p w14:paraId="5C9E4FA9">
      <w:pPr>
        <w:autoSpaceDE w:val="0"/>
        <w:autoSpaceDN w:val="0"/>
        <w:spacing w:after="0" w:line="560" w:lineRule="exact"/>
        <w:ind w:firstLine="400" w:firstLineChars="200"/>
        <w:rPr>
          <w:rFonts w:ascii="仿宋_GB2312" w:hAnsi="仿宋_GB2312" w:eastAsia="仿宋_GB2312" w:cs="仿宋_GB2312"/>
          <w:bCs/>
          <w:color w:val="000000"/>
          <w:sz w:val="20"/>
          <w:szCs w:val="20"/>
          <w:u w:val="single"/>
        </w:rPr>
      </w:pPr>
    </w:p>
    <w:p w14:paraId="36432054">
      <w:pPr>
        <w:autoSpaceDE w:val="0"/>
        <w:autoSpaceDN w:val="0"/>
        <w:spacing w:after="0" w:line="560" w:lineRule="exact"/>
        <w:ind w:firstLine="400" w:firstLineChars="200"/>
        <w:rPr>
          <w:rFonts w:ascii="仿宋_GB2312" w:hAnsi="宋体" w:eastAsia="仿宋_GB2312" w:cs="宋体"/>
          <w:bCs/>
          <w:color w:val="000000"/>
          <w:sz w:val="20"/>
          <w:szCs w:val="20"/>
          <w:u w:val="single"/>
        </w:rPr>
      </w:pPr>
      <w:r>
        <w:rPr>
          <w:rFonts w:hint="eastAsia" w:ascii="仿宋_GB2312" w:hAnsi="宋体" w:eastAsia="仿宋_GB2312" w:cs="宋体"/>
          <w:bCs/>
          <w:color w:val="000000"/>
          <w:sz w:val="20"/>
          <w:szCs w:val="20"/>
          <w:u w:val="single"/>
          <w:lang w:val="en-US" w:eastAsia="zh-CN"/>
        </w:rPr>
        <w:t xml:space="preserve">    （项目名称）     </w:t>
      </w:r>
      <w:r>
        <w:rPr>
          <w:rFonts w:hint="eastAsia" w:ascii="仿宋_GB2312" w:hAnsi="宋体" w:eastAsia="仿宋_GB2312" w:cs="宋体"/>
          <w:bCs/>
          <w:color w:val="000000"/>
          <w:sz w:val="20"/>
          <w:szCs w:val="20"/>
          <w:u w:val="single"/>
        </w:rPr>
        <w:t>(项目编号：</w:t>
      </w:r>
      <w:r>
        <w:rPr>
          <w:rFonts w:hint="eastAsia" w:ascii="仿宋_GB2312" w:hAnsi="宋体" w:eastAsia="仿宋_GB2312" w:cs="宋体"/>
          <w:bCs/>
          <w:color w:val="000000"/>
          <w:sz w:val="20"/>
          <w:szCs w:val="20"/>
          <w:u w:val="single"/>
          <w:lang w:val="en-US" w:eastAsia="zh-CN"/>
        </w:rPr>
        <w:t xml:space="preserve">  </w:t>
      </w:r>
      <w:r>
        <w:rPr>
          <w:rFonts w:hint="eastAsia" w:ascii="仿宋_GB2312" w:hAnsi="宋体" w:eastAsia="仿宋_GB2312" w:cs="宋体"/>
          <w:bCs/>
          <w:color w:val="000000"/>
          <w:sz w:val="20"/>
          <w:szCs w:val="20"/>
          <w:u w:val="single"/>
        </w:rPr>
        <w:t xml:space="preserve"> )</w:t>
      </w:r>
      <w:r>
        <w:rPr>
          <w:rFonts w:hint="eastAsia" w:ascii="仿宋_GB2312" w:hAnsi="宋体" w:eastAsia="仿宋_GB2312" w:cs="宋体"/>
          <w:bCs/>
          <w:color w:val="000000"/>
          <w:sz w:val="20"/>
          <w:szCs w:val="20"/>
        </w:rPr>
        <w:t>，由</w:t>
      </w:r>
      <w:r>
        <w:rPr>
          <w:rFonts w:hint="eastAsia" w:ascii="仿宋_GB2312" w:hAnsi="宋体" w:eastAsia="仿宋_GB2312" w:cs="宋体"/>
          <w:bCs/>
          <w:color w:val="000000"/>
          <w:sz w:val="20"/>
          <w:szCs w:val="20"/>
          <w:lang w:val="en-US" w:eastAsia="zh-CN"/>
        </w:rPr>
        <w:t>华睿诚</w:t>
      </w:r>
      <w:r>
        <w:rPr>
          <w:rFonts w:hint="eastAsia" w:ascii="仿宋_GB2312" w:hAnsi="宋体" w:eastAsia="仿宋_GB2312" w:cs="宋体"/>
          <w:bCs/>
          <w:color w:val="000000"/>
          <w:sz w:val="20"/>
          <w:szCs w:val="20"/>
        </w:rPr>
        <w:t>项目管理有限公司组织竞争性磋商，</w:t>
      </w:r>
      <w:r>
        <w:rPr>
          <w:rFonts w:hint="eastAsia" w:ascii="仿宋_GB2312" w:hAnsi="宋体" w:eastAsia="仿宋_GB2312" w:cs="宋体"/>
          <w:bCs/>
          <w:color w:val="000000"/>
          <w:sz w:val="20"/>
          <w:szCs w:val="20"/>
        </w:rPr>
        <w:t>西安大兴新区开发建设管理委员会</w:t>
      </w:r>
      <w:r>
        <w:rPr>
          <w:rFonts w:hint="eastAsia" w:ascii="仿宋_GB2312" w:hAnsi="宋体" w:eastAsia="仿宋_GB2312" w:cs="宋体"/>
          <w:bCs/>
          <w:color w:val="000000"/>
          <w:sz w:val="20"/>
          <w:szCs w:val="20"/>
        </w:rPr>
        <w:t>(以下简称“甲方”)确定</w:t>
      </w:r>
      <w:r>
        <w:rPr>
          <w:rFonts w:hint="eastAsia" w:ascii="仿宋_GB2312" w:hAnsi="宋体" w:eastAsia="仿宋_GB2312" w:cs="宋体"/>
          <w:bCs/>
          <w:color w:val="000000"/>
          <w:sz w:val="20"/>
          <w:szCs w:val="20"/>
          <w:u w:val="single"/>
          <w:lang w:val="en-US" w:eastAsia="zh-CN"/>
        </w:rPr>
        <w:t xml:space="preserve">       </w:t>
      </w:r>
      <w:r>
        <w:rPr>
          <w:rFonts w:hint="eastAsia" w:ascii="仿宋_GB2312" w:hAnsi="宋体" w:eastAsia="仿宋_GB2312" w:cs="宋体"/>
          <w:bCs/>
          <w:color w:val="000000"/>
          <w:sz w:val="20"/>
          <w:szCs w:val="20"/>
        </w:rPr>
        <w:t>（以下简称“乙方”）为该项目的中标人。</w:t>
      </w:r>
    </w:p>
    <w:p w14:paraId="3851C61B">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依据《中华人民共和国民法典》和《中华人民共和国政府采购法》之规定，经双方在平等、自愿、互利的基础上，签订本合同，共同信守。</w:t>
      </w:r>
    </w:p>
    <w:p w14:paraId="59FC947D">
      <w:pPr>
        <w:pStyle w:val="7"/>
        <w:numPr>
          <w:ilvl w:val="0"/>
          <w:numId w:val="1"/>
        </w:numPr>
        <w:autoSpaceDE w:val="0"/>
        <w:autoSpaceDN w:val="0"/>
        <w:adjustRightInd w:val="0"/>
        <w:spacing w:line="560" w:lineRule="exact"/>
        <w:ind w:firstLineChars="0"/>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合同内容</w:t>
      </w:r>
    </w:p>
    <w:p w14:paraId="1ED96451">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按照莲湖区西电片区城市发展与改造更新开发实施方案，2025年计划报批供应363亩土地（其中西站5个地块，西电东区3个地块），按照编制土地供应方案相关工作要求,需委托第三方机构开展计划地块地价评估工作，评估结果作为编制土地供应方案的依据，工作内容最终以甲方实际委托项目地块宗地为准。</w:t>
      </w:r>
    </w:p>
    <w:p w14:paraId="08231797">
      <w:pPr>
        <w:pStyle w:val="7"/>
        <w:numPr>
          <w:ilvl w:val="0"/>
          <w:numId w:val="1"/>
        </w:numPr>
        <w:autoSpaceDE w:val="0"/>
        <w:autoSpaceDN w:val="0"/>
        <w:adjustRightInd w:val="0"/>
        <w:spacing w:line="560" w:lineRule="exact"/>
        <w:ind w:firstLineChars="0"/>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合同价款</w:t>
      </w:r>
    </w:p>
    <w:p w14:paraId="78A93651">
      <w:pPr>
        <w:autoSpaceDE w:val="0"/>
        <w:autoSpaceDN w:val="0"/>
        <w:spacing w:after="0" w:line="560" w:lineRule="exact"/>
        <w:ind w:firstLine="400" w:firstLineChars="200"/>
        <w:rPr>
          <w:rFonts w:ascii="仿宋_GB2312" w:hAnsi="宋体" w:eastAsia="仿宋_GB2312" w:cs="宋体"/>
          <w:b/>
          <w:bCs/>
          <w:color w:val="000000"/>
          <w:sz w:val="20"/>
          <w:szCs w:val="20"/>
        </w:rPr>
      </w:pPr>
      <w:r>
        <w:rPr>
          <w:rFonts w:hint="eastAsia" w:ascii="仿宋_GB2312" w:hAnsi="宋体" w:eastAsia="仿宋_GB2312" w:cs="宋体"/>
          <w:color w:val="000000"/>
          <w:sz w:val="20"/>
          <w:szCs w:val="20"/>
        </w:rPr>
        <w:t>（一）</w:t>
      </w:r>
      <w:r>
        <w:rPr>
          <w:rFonts w:hint="eastAsia" w:ascii="仿宋_GB2312" w:hAnsi="宋体" w:eastAsia="仿宋_GB2312" w:cs="宋体"/>
          <w:b/>
          <w:color w:val="000000"/>
          <w:sz w:val="20"/>
          <w:szCs w:val="20"/>
        </w:rPr>
        <w:t>折扣率</w:t>
      </w:r>
      <w:r>
        <w:rPr>
          <w:rFonts w:hint="eastAsia" w:ascii="仿宋_GB2312" w:hAnsi="宋体" w:eastAsia="仿宋_GB2312" w:cs="宋体"/>
          <w:b/>
          <w:color w:val="000000"/>
          <w:sz w:val="20"/>
          <w:szCs w:val="20"/>
          <w:u w:val="single"/>
        </w:rPr>
        <w:t xml:space="preserve"> </w:t>
      </w:r>
      <w:r>
        <w:rPr>
          <w:rFonts w:hint="eastAsia" w:ascii="仿宋_GB2312" w:hAnsi="宋体" w:eastAsia="仿宋_GB2312" w:cs="宋体"/>
          <w:b/>
          <w:color w:val="000000"/>
          <w:sz w:val="20"/>
          <w:szCs w:val="20"/>
          <w:u w:val="single"/>
          <w:lang w:val="en-US" w:eastAsia="zh-CN"/>
        </w:rPr>
        <w:t xml:space="preserve">  </w:t>
      </w:r>
      <w:r>
        <w:rPr>
          <w:rFonts w:hint="eastAsia" w:ascii="仿宋_GB2312" w:hAnsi="宋体" w:eastAsia="仿宋_GB2312" w:cs="宋体"/>
          <w:b/>
          <w:color w:val="000000"/>
          <w:sz w:val="20"/>
          <w:szCs w:val="20"/>
          <w:u w:val="single"/>
        </w:rPr>
        <w:t xml:space="preserve"> %</w:t>
      </w:r>
      <w:r>
        <w:rPr>
          <w:rFonts w:hint="eastAsia" w:ascii="仿宋_GB2312" w:hAnsi="宋体" w:eastAsia="仿宋_GB2312" w:cs="宋体"/>
          <w:b/>
          <w:color w:val="000000"/>
          <w:sz w:val="20"/>
          <w:szCs w:val="20"/>
        </w:rPr>
        <w:t>（大写：</w:t>
      </w:r>
      <w:r>
        <w:rPr>
          <w:rFonts w:hint="eastAsia" w:ascii="仿宋_GB2312" w:hAnsi="宋体" w:eastAsia="仿宋_GB2312" w:cs="宋体"/>
          <w:b/>
          <w:color w:val="000000"/>
          <w:sz w:val="20"/>
          <w:szCs w:val="20"/>
          <w:u w:val="single"/>
        </w:rPr>
        <w:t xml:space="preserve"> </w:t>
      </w:r>
      <w:r>
        <w:rPr>
          <w:rFonts w:hint="eastAsia" w:ascii="仿宋_GB2312" w:hAnsi="宋体" w:eastAsia="仿宋_GB2312" w:cs="宋体"/>
          <w:b/>
          <w:color w:val="000000"/>
          <w:sz w:val="20"/>
          <w:szCs w:val="20"/>
          <w:u w:val="single"/>
          <w:lang w:val="en-US" w:eastAsia="zh-CN"/>
        </w:rPr>
        <w:t xml:space="preserve">   </w:t>
      </w:r>
      <w:r>
        <w:rPr>
          <w:rFonts w:hint="eastAsia" w:ascii="仿宋_GB2312" w:hAnsi="宋体" w:eastAsia="仿宋_GB2312" w:cs="宋体"/>
          <w:b/>
          <w:color w:val="000000"/>
          <w:sz w:val="20"/>
          <w:szCs w:val="20"/>
          <w:u w:val="single"/>
        </w:rPr>
        <w:t xml:space="preserve"> </w:t>
      </w:r>
      <w:r>
        <w:rPr>
          <w:rFonts w:hint="eastAsia" w:ascii="仿宋_GB2312" w:hAnsi="宋体" w:eastAsia="仿宋_GB2312" w:cs="宋体"/>
          <w:b/>
          <w:color w:val="000000"/>
          <w:sz w:val="20"/>
          <w:szCs w:val="20"/>
        </w:rPr>
        <w:t>），</w:t>
      </w:r>
      <w:r>
        <w:rPr>
          <w:rFonts w:hint="eastAsia" w:ascii="仿宋_GB2312" w:hAnsi="宋体" w:eastAsia="仿宋_GB2312" w:cs="宋体"/>
          <w:b/>
          <w:bCs/>
          <w:color w:val="000000"/>
          <w:sz w:val="20"/>
          <w:szCs w:val="20"/>
        </w:rPr>
        <w:t>最终结算价：根据单宗地块合同结算价格以及实际服务数量据实结算，单宗地块合同结算价格=《关于土地价格评估收费的通知》（计价格[1994]2017号）规定的计费标准*折扣率，折扣率在合同执行期间不做调整。</w:t>
      </w:r>
    </w:p>
    <w:p w14:paraId="2D9C1405">
      <w:pPr>
        <w:pStyle w:val="8"/>
        <w:spacing w:line="560" w:lineRule="exact"/>
        <w:ind w:firstLine="402" w:firstLineChars="200"/>
        <w:rPr>
          <w:rFonts w:ascii="仿宋_GB2312" w:hAnsi="宋体" w:eastAsia="仿宋_GB2312" w:cs="宋体"/>
          <w:color w:val="000000"/>
          <w:sz w:val="20"/>
          <w:szCs w:val="20"/>
          <w:u w:val="single"/>
        </w:rPr>
      </w:pPr>
      <w:r>
        <w:rPr>
          <w:rFonts w:hint="eastAsia" w:ascii="仿宋_GB2312" w:hAnsi="宋体" w:eastAsia="仿宋_GB2312" w:cs="宋体"/>
          <w:b/>
          <w:bCs/>
          <w:color w:val="000000"/>
          <w:sz w:val="20"/>
          <w:szCs w:val="20"/>
        </w:rPr>
        <w:t>（二）</w:t>
      </w:r>
      <w:r>
        <w:rPr>
          <w:rFonts w:hint="eastAsia" w:ascii="仿宋_GB2312" w:hAnsi="宋体" w:eastAsia="仿宋_GB2312" w:cs="宋体"/>
          <w:color w:val="000000"/>
          <w:sz w:val="20"/>
          <w:szCs w:val="20"/>
        </w:rPr>
        <w:t>本合同总价为本次</w:t>
      </w:r>
      <w:r>
        <w:rPr>
          <w:rFonts w:hint="eastAsia" w:ascii="仿宋_GB2312" w:hAnsi="宋体" w:eastAsia="仿宋_GB2312" w:cs="宋体"/>
          <w:color w:val="000000"/>
          <w:sz w:val="20"/>
          <w:szCs w:val="20"/>
          <w:lang w:val="zh-CN"/>
        </w:rPr>
        <w:t>服务项目内容所需的全部费用。</w:t>
      </w:r>
    </w:p>
    <w:p w14:paraId="58B58FD6">
      <w:pPr>
        <w:pStyle w:val="2"/>
        <w:spacing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（三）最终结算总价，根据委托工作量据实结算，但不超过本合同总价款</w:t>
      </w:r>
      <w:r>
        <w:rPr>
          <w:rFonts w:hint="eastAsia" w:ascii="仿宋_GB2312" w:hAnsi="宋体" w:eastAsia="仿宋_GB2312" w:cs="宋体"/>
          <w:bCs/>
          <w:color w:val="000000"/>
          <w:sz w:val="20"/>
          <w:szCs w:val="20"/>
          <w:u w:val="single"/>
          <w:lang w:val="en-US" w:eastAsia="zh-CN"/>
        </w:rPr>
        <w:t xml:space="preserve">   </w:t>
      </w:r>
      <w:r>
        <w:rPr>
          <w:rFonts w:hint="eastAsia" w:ascii="仿宋_GB2312" w:hAnsi="宋体" w:eastAsia="仿宋_GB2312" w:cs="宋体"/>
          <w:bCs/>
          <w:color w:val="000000"/>
          <w:sz w:val="20"/>
          <w:szCs w:val="20"/>
        </w:rPr>
        <w:t>万元。若据实结算最终结算总价超过本合同总价款，甲乙双方另行协商确定。</w:t>
      </w:r>
    </w:p>
    <w:p w14:paraId="3B4CE539">
      <w:pPr>
        <w:spacing w:after="0" w:line="560" w:lineRule="exact"/>
        <w:ind w:firstLine="402" w:firstLineChars="200"/>
        <w:rPr>
          <w:rFonts w:ascii="仿宋_GB2312" w:hAnsi="宋体" w:eastAsia="仿宋_GB2312" w:cs="宋体"/>
          <w:color w:val="000000"/>
          <w:sz w:val="20"/>
          <w:szCs w:val="20"/>
        </w:rPr>
      </w:pPr>
      <w:r>
        <w:rPr>
          <w:rFonts w:hint="eastAsia" w:ascii="仿宋_GB2312" w:hAnsi="宋体" w:eastAsia="仿宋_GB2312" w:cs="宋体"/>
          <w:b/>
          <w:color w:val="000000"/>
          <w:sz w:val="20"/>
          <w:szCs w:val="20"/>
        </w:rPr>
        <w:t>二、委托工作内容：</w:t>
      </w:r>
      <w:r>
        <w:rPr>
          <w:rFonts w:hint="eastAsia" w:ascii="仿宋_GB2312" w:hAnsi="宋体" w:eastAsia="仿宋_GB2312" w:cs="宋体"/>
          <w:bCs/>
          <w:color w:val="000000"/>
          <w:sz w:val="20"/>
          <w:szCs w:val="20"/>
          <w:lang w:val="zh-CN"/>
        </w:rPr>
        <w:t>对大兴新区范围内拟供应宗地提供专业的土地评估服务及政策咨询。按</w:t>
      </w:r>
      <w:r>
        <w:rPr>
          <w:rFonts w:hint="eastAsia" w:ascii="仿宋_GB2312" w:hAnsi="宋体" w:eastAsia="仿宋_GB2312" w:cs="宋体"/>
          <w:bCs/>
          <w:color w:val="000000"/>
          <w:sz w:val="20"/>
          <w:szCs w:val="20"/>
        </w:rPr>
        <w:t>甲方</w:t>
      </w:r>
      <w:r>
        <w:rPr>
          <w:rFonts w:hint="eastAsia" w:ascii="仿宋_GB2312" w:hAnsi="宋体" w:eastAsia="仿宋_GB2312" w:cs="宋体"/>
          <w:bCs/>
          <w:color w:val="000000"/>
          <w:sz w:val="20"/>
          <w:szCs w:val="20"/>
          <w:lang w:val="zh-CN"/>
        </w:rPr>
        <w:t>指定的宗地范围，遵循公正、公平、公开的原则和科学的评估方法，按国家规定，向</w:t>
      </w:r>
      <w:r>
        <w:rPr>
          <w:rFonts w:hint="eastAsia" w:ascii="仿宋_GB2312" w:hAnsi="宋体" w:eastAsia="仿宋_GB2312" w:cs="宋体"/>
          <w:bCs/>
          <w:color w:val="000000"/>
          <w:sz w:val="20"/>
          <w:szCs w:val="20"/>
        </w:rPr>
        <w:t>甲方</w:t>
      </w:r>
      <w:r>
        <w:rPr>
          <w:rFonts w:hint="eastAsia" w:ascii="仿宋_GB2312" w:hAnsi="宋体" w:eastAsia="仿宋_GB2312" w:cs="宋体"/>
          <w:bCs/>
          <w:color w:val="000000"/>
          <w:sz w:val="20"/>
          <w:szCs w:val="20"/>
          <w:lang w:val="zh-CN"/>
        </w:rPr>
        <w:t>出具符合规范要求的评估报告。</w:t>
      </w:r>
    </w:p>
    <w:p w14:paraId="54F21979">
      <w:pPr>
        <w:autoSpaceDE w:val="0"/>
        <w:autoSpaceDN w:val="0"/>
        <w:spacing w:after="0" w:line="560" w:lineRule="exact"/>
        <w:ind w:firstLine="402" w:firstLineChars="200"/>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三、款项结算</w:t>
      </w:r>
    </w:p>
    <w:p w14:paraId="01611C32">
      <w:pPr>
        <w:autoSpaceDE w:val="0"/>
        <w:autoSpaceDN w:val="0"/>
        <w:spacing w:after="0" w:line="560" w:lineRule="exact"/>
        <w:ind w:firstLine="400" w:firstLineChars="200"/>
        <w:rPr>
          <w:rFonts w:hint="eastAsia" w:ascii="仿宋_GB2312" w:hAnsi="宋体" w:eastAsia="仿宋_GB2312" w:cs="宋体"/>
          <w:bCs/>
          <w:color w:val="000000"/>
          <w:sz w:val="20"/>
          <w:szCs w:val="20"/>
        </w:rPr>
      </w:pPr>
      <w:bookmarkStart w:id="1" w:name="_Hlk69116164"/>
      <w:r>
        <w:rPr>
          <w:rFonts w:hint="eastAsia" w:ascii="仿宋_GB2312" w:hAnsi="宋体" w:eastAsia="仿宋_GB2312" w:cs="宋体"/>
          <w:bCs/>
          <w:color w:val="000000"/>
          <w:sz w:val="20"/>
          <w:szCs w:val="20"/>
        </w:rPr>
        <w:t>（一）付款方式</w:t>
      </w:r>
      <w:r>
        <w:rPr>
          <w:rFonts w:hint="eastAsia" w:ascii="仿宋_GB2312" w:hAnsi="宋体" w:eastAsia="仿宋_GB2312" w:cs="宋体"/>
          <w:bCs/>
          <w:color w:val="000000"/>
          <w:sz w:val="20"/>
          <w:szCs w:val="20"/>
          <w:lang w:val="en-US" w:eastAsia="zh-CN"/>
        </w:rPr>
        <w:t>1.</w:t>
      </w:r>
      <w:r>
        <w:rPr>
          <w:rFonts w:hint="eastAsia" w:ascii="仿宋_GB2312" w:hAnsi="宋体" w:eastAsia="仿宋_GB2312" w:cs="宋体"/>
          <w:bCs/>
          <w:color w:val="000000"/>
          <w:sz w:val="20"/>
          <w:szCs w:val="20"/>
        </w:rPr>
        <w:t>按照工作进度以季度支付（第三季度）。根据采购方出具的委托确认书委托的工作量按折扣率据实结算费用，评估成果验收合格并双方结算书面确认后乙方开具同等增值税发票，达到付款条件起30日内，支付合同总金额的75.00%。</w:t>
      </w:r>
    </w:p>
    <w:p w14:paraId="7FB11B30">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lang w:val="en-US" w:eastAsia="zh-CN"/>
        </w:rPr>
        <w:t>2.</w:t>
      </w:r>
      <w:r>
        <w:rPr>
          <w:rFonts w:hint="eastAsia" w:ascii="仿宋_GB2312" w:hAnsi="宋体" w:eastAsia="仿宋_GB2312" w:cs="宋体"/>
          <w:bCs/>
          <w:color w:val="000000"/>
          <w:sz w:val="20"/>
          <w:szCs w:val="20"/>
        </w:rPr>
        <w:t>付款条件说明：按照工作进度以季度支付（第四季度）。根据采购方出具的委托确认书委托的工作量按折扣率据实结算费用，评估成果验收合格并双方结算书面确认后乙方开具同等增值税票，达到付款条件起30日内，支付合同总金额的25.00%。</w:t>
      </w:r>
    </w:p>
    <w:bookmarkEnd w:id="1"/>
    <w:p w14:paraId="67A7B70A">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（二）结算方式：银行转账。</w:t>
      </w:r>
    </w:p>
    <w:p w14:paraId="7027DF26">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乙方账户信息：</w:t>
      </w:r>
    </w:p>
    <w:p w14:paraId="6AA2556F">
      <w:pPr>
        <w:autoSpaceDE w:val="0"/>
        <w:autoSpaceDN w:val="0"/>
        <w:spacing w:after="0" w:line="560" w:lineRule="exact"/>
        <w:ind w:firstLine="800" w:firstLineChars="400"/>
        <w:rPr>
          <w:rFonts w:hint="eastAsia" w:ascii="仿宋_GB2312" w:hAnsi="宋体" w:eastAsia="仿宋_GB2312" w:cs="宋体"/>
          <w:bCs/>
          <w:color w:val="000000"/>
          <w:sz w:val="20"/>
          <w:szCs w:val="20"/>
        </w:rPr>
      </w:pPr>
      <w:r>
        <w:rPr>
          <w:rFonts w:hint="eastAsia" w:ascii="仿宋_GB2312" w:hAnsi="宋体" w:eastAsia="仿宋_GB2312" w:cs="宋体"/>
          <w:bCs/>
          <w:color w:val="000000"/>
          <w:sz w:val="20"/>
          <w:szCs w:val="20"/>
        </w:rPr>
        <w:t>开户银行：</w:t>
      </w:r>
    </w:p>
    <w:p w14:paraId="49EF9203">
      <w:pPr>
        <w:autoSpaceDE w:val="0"/>
        <w:autoSpaceDN w:val="0"/>
        <w:spacing w:after="0" w:line="560" w:lineRule="exact"/>
        <w:ind w:firstLine="800" w:firstLineChars="400"/>
        <w:rPr>
          <w:rFonts w:hint="eastAsia" w:ascii="仿宋_GB2312" w:hAnsi="宋体" w:eastAsia="仿宋_GB2312" w:cs="宋体"/>
          <w:bCs/>
          <w:color w:val="000000"/>
          <w:sz w:val="20"/>
          <w:szCs w:val="20"/>
          <w:lang w:eastAsia="zh-CN"/>
        </w:rPr>
      </w:pPr>
      <w:r>
        <w:rPr>
          <w:rFonts w:hint="eastAsia" w:ascii="仿宋_GB2312" w:hAnsi="宋体" w:eastAsia="仿宋_GB2312" w:cs="宋体"/>
          <w:bCs/>
          <w:color w:val="000000"/>
          <w:sz w:val="20"/>
          <w:szCs w:val="20"/>
        </w:rPr>
        <w:t>户    名：</w:t>
      </w:r>
      <w:r>
        <w:rPr>
          <w:rFonts w:hint="eastAsia" w:ascii="仿宋_GB2312" w:hAnsi="宋体" w:eastAsia="仿宋_GB2312" w:cs="宋体"/>
          <w:bCs/>
          <w:color w:val="000000"/>
          <w:sz w:val="20"/>
          <w:szCs w:val="20"/>
          <w:lang w:val="en-US" w:eastAsia="zh-CN"/>
        </w:rPr>
        <w:t xml:space="preserve"> </w:t>
      </w:r>
    </w:p>
    <w:p w14:paraId="5BF3EFCE">
      <w:pPr>
        <w:autoSpaceDE w:val="0"/>
        <w:autoSpaceDN w:val="0"/>
        <w:spacing w:after="0" w:line="560" w:lineRule="exact"/>
        <w:ind w:firstLine="826" w:firstLineChars="413"/>
        <w:rPr>
          <w:rFonts w:hint="eastAsia" w:ascii="仿宋_GB2312" w:hAnsi="宋体" w:eastAsia="仿宋_GB2312" w:cs="宋体"/>
          <w:bCs/>
          <w:color w:val="000000"/>
          <w:sz w:val="20"/>
          <w:szCs w:val="20"/>
          <w:lang w:eastAsia="zh-CN"/>
        </w:rPr>
      </w:pPr>
      <w:r>
        <w:rPr>
          <w:rFonts w:hint="eastAsia" w:ascii="仿宋_GB2312" w:hAnsi="宋体" w:eastAsia="仿宋_GB2312" w:cs="宋体"/>
          <w:bCs/>
          <w:color w:val="000000"/>
          <w:sz w:val="20"/>
          <w:szCs w:val="20"/>
        </w:rPr>
        <w:t>账    号：</w:t>
      </w:r>
      <w:r>
        <w:rPr>
          <w:rFonts w:hint="eastAsia" w:ascii="仿宋_GB2312" w:hAnsi="宋体" w:eastAsia="仿宋_GB2312" w:cs="宋体"/>
          <w:bCs/>
          <w:color w:val="000000"/>
          <w:sz w:val="20"/>
          <w:szCs w:val="20"/>
          <w:lang w:val="en-US" w:eastAsia="zh-CN"/>
        </w:rPr>
        <w:t xml:space="preserve"> </w:t>
      </w:r>
    </w:p>
    <w:p w14:paraId="0B793E5D">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（三）结算单位：</w:t>
      </w:r>
      <w:r>
        <w:rPr>
          <w:rFonts w:hint="eastAsia" w:ascii="仿宋_GB2312" w:hAnsi="宋体" w:eastAsia="仿宋_GB2312" w:cs="宋体"/>
          <w:color w:val="000000"/>
          <w:sz w:val="20"/>
          <w:szCs w:val="20"/>
        </w:rPr>
        <w:t>由甲方负责结算，乙方在每次接受付款前，开具符合法律规定及甲方要求的等额发票给甲方，否则甲方有权拒绝付款并不承担任何责任。</w:t>
      </w:r>
    </w:p>
    <w:p w14:paraId="0B30BE56">
      <w:pPr>
        <w:autoSpaceDE w:val="0"/>
        <w:autoSpaceDN w:val="0"/>
        <w:spacing w:after="0" w:line="560" w:lineRule="exact"/>
        <w:ind w:firstLine="645"/>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四、服务地点及服务期限</w:t>
      </w:r>
    </w:p>
    <w:p w14:paraId="092B40F3">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（一）服务地点：甲方指定地点。</w:t>
      </w:r>
    </w:p>
    <w:p w14:paraId="27CC27F9">
      <w:pPr>
        <w:pStyle w:val="2"/>
        <w:spacing w:line="560" w:lineRule="exact"/>
        <w:ind w:firstLine="400" w:firstLineChars="200"/>
        <w:rPr>
          <w:rFonts w:ascii="仿宋_GB2312" w:hAnsi="宋体" w:eastAsia="仿宋_GB2312" w:cs="宋体"/>
          <w:bCs/>
          <w:color w:val="000000"/>
          <w:sz w:val="20"/>
          <w:szCs w:val="20"/>
          <w:lang w:val="zh-CN"/>
        </w:rPr>
      </w:pPr>
      <w:r>
        <w:rPr>
          <w:rFonts w:hint="eastAsia" w:ascii="仿宋_GB2312" w:hAnsi="宋体" w:eastAsia="仿宋_GB2312" w:cs="宋体"/>
          <w:bCs/>
          <w:color w:val="000000"/>
          <w:sz w:val="20"/>
          <w:szCs w:val="20"/>
        </w:rPr>
        <w:t>（二）服务期限：</w:t>
      </w:r>
      <w:r>
        <w:rPr>
          <w:rFonts w:hint="eastAsia" w:ascii="仿宋_GB2312" w:hAnsi="宋体" w:eastAsia="仿宋_GB2312" w:cs="宋体"/>
          <w:bCs/>
          <w:color w:val="000000"/>
          <w:sz w:val="20"/>
          <w:szCs w:val="20"/>
          <w:lang w:val="zh-CN"/>
        </w:rPr>
        <w:t>自合同签订之日起至202</w:t>
      </w:r>
      <w:r>
        <w:rPr>
          <w:rFonts w:hint="eastAsia" w:ascii="仿宋_GB2312" w:hAnsi="宋体" w:eastAsia="仿宋_GB2312" w:cs="宋体"/>
          <w:bCs/>
          <w:color w:val="000000"/>
          <w:sz w:val="20"/>
          <w:szCs w:val="20"/>
          <w:lang w:val="en-US" w:eastAsia="zh-CN"/>
        </w:rPr>
        <w:t>5</w:t>
      </w:r>
      <w:r>
        <w:rPr>
          <w:rFonts w:hint="eastAsia" w:ascii="仿宋_GB2312" w:hAnsi="宋体" w:eastAsia="仿宋_GB2312" w:cs="宋体"/>
          <w:bCs/>
          <w:color w:val="000000"/>
          <w:sz w:val="20"/>
          <w:szCs w:val="20"/>
          <w:lang w:val="zh-CN"/>
        </w:rPr>
        <w:t>年12月31日止。</w:t>
      </w:r>
    </w:p>
    <w:p w14:paraId="59D0DC11">
      <w:pPr>
        <w:pStyle w:val="2"/>
        <w:spacing w:line="560" w:lineRule="exact"/>
        <w:ind w:firstLine="402" w:firstLineChars="200"/>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五、</w:t>
      </w:r>
      <w:bookmarkStart w:id="2" w:name="_Toc6938"/>
      <w:r>
        <w:rPr>
          <w:rFonts w:hint="eastAsia" w:ascii="仿宋_GB2312" w:hAnsi="宋体" w:eastAsia="仿宋_GB2312" w:cs="宋体"/>
          <w:b/>
          <w:bCs/>
          <w:color w:val="000000"/>
          <w:sz w:val="20"/>
          <w:szCs w:val="20"/>
        </w:rPr>
        <w:t>双方的权利和义务</w:t>
      </w:r>
      <w:bookmarkEnd w:id="2"/>
    </w:p>
    <w:p w14:paraId="62C8FB69">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（一）甲方的权利与义务</w:t>
      </w:r>
    </w:p>
    <w:p w14:paraId="1982ECF1">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1.甲方负责配合本次项目服务工作；</w:t>
      </w:r>
    </w:p>
    <w:p w14:paraId="54BCBC68">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2.甲方应按本合同的约定向乙方支付合同价款；</w:t>
      </w:r>
    </w:p>
    <w:p w14:paraId="2975FBB3">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3.甲方根据需要对乙方提供的服务方案进行审核，提供建议及意见，确定最终实施的服务方案，以便乙方遵照执行；</w:t>
      </w:r>
    </w:p>
    <w:p w14:paraId="734A83E2">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4.按照有关要求，对项目的进度、质量和保密等情况进行全程监督检查，并对相关成果进行抽查、检查； </w:t>
      </w:r>
    </w:p>
    <w:p w14:paraId="2BA8744C">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5.组织对乙方形成的相关成果资料审核、评审；</w:t>
      </w:r>
    </w:p>
    <w:p w14:paraId="62D4E44B">
      <w:pPr>
        <w:pStyle w:val="2"/>
        <w:spacing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6.向乙方支付费用。</w:t>
      </w:r>
    </w:p>
    <w:p w14:paraId="5D8FBD25">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（二）乙方的权利与义务</w:t>
      </w:r>
    </w:p>
    <w:p w14:paraId="2D5D2B4B">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1.乙方的工作人员必须严格遵守甲方的规章制度，以良好的形象和积极的工作态度，按甲方要求开展工作；</w:t>
      </w:r>
    </w:p>
    <w:p w14:paraId="57A38097">
      <w:pPr>
        <w:pStyle w:val="2"/>
        <w:spacing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2.根据甲方提供的有关资料和委托要求，依据有关法规和规范等要求，按双方拟定的进度，按时、保质、保量提供相关数据及成果资料； </w:t>
      </w:r>
    </w:p>
    <w:p w14:paraId="7320467B">
      <w:pPr>
        <w:pStyle w:val="2"/>
        <w:spacing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3.定期向甲方汇报项目进展、质量情况及存在问题； </w:t>
      </w:r>
    </w:p>
    <w:p w14:paraId="0F6C756B">
      <w:pPr>
        <w:pStyle w:val="2"/>
        <w:spacing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4.严格按照国家和地方的相关规程、细则规定进行项目的实施，并对成果质量负责； </w:t>
      </w:r>
    </w:p>
    <w:p w14:paraId="00A7A73C">
      <w:pPr>
        <w:pStyle w:val="2"/>
        <w:spacing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5.乙方应做好成果检查验收工作。 </w:t>
      </w:r>
    </w:p>
    <w:p w14:paraId="1C56D670">
      <w:pPr>
        <w:spacing w:after="0" w:line="560" w:lineRule="exact"/>
        <w:ind w:firstLine="402" w:firstLineChars="200"/>
        <w:rPr>
          <w:rFonts w:ascii="仿宋_GB2312" w:hAnsi="宋体" w:eastAsia="仿宋_GB2312" w:cs="宋体"/>
          <w:b/>
          <w:color w:val="000000"/>
          <w:sz w:val="20"/>
          <w:szCs w:val="20"/>
        </w:rPr>
      </w:pPr>
      <w:bookmarkStart w:id="3" w:name="_Toc4603"/>
      <w:bookmarkStart w:id="4" w:name="_Toc18752"/>
      <w:r>
        <w:rPr>
          <w:rFonts w:hint="eastAsia" w:ascii="仿宋_GB2312" w:hAnsi="宋体" w:eastAsia="仿宋_GB2312" w:cs="宋体"/>
          <w:b/>
          <w:color w:val="000000"/>
          <w:sz w:val="20"/>
          <w:szCs w:val="20"/>
        </w:rPr>
        <w:t>六、成果的归属</w:t>
      </w:r>
    </w:p>
    <w:p w14:paraId="4F34C307">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789F78D8">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（二）本次成果所有权、使用权和著作权均属于甲方。乙方应确保提供服务过程中不会侵犯任何第三方的知识产权，否则承担由此产生的一切法律和经济责任。</w:t>
      </w:r>
    </w:p>
    <w:p w14:paraId="47AAE487">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11C7B460">
      <w:pPr>
        <w:spacing w:after="0" w:line="560" w:lineRule="exact"/>
        <w:ind w:firstLine="400" w:firstLineChars="200"/>
        <w:rPr>
          <w:rFonts w:ascii="仿宋_GB2312" w:hAnsi="宋体" w:eastAsia="仿宋_GB2312" w:cs="宋体"/>
          <w:b/>
          <w:color w:val="000000"/>
          <w:sz w:val="20"/>
          <w:szCs w:val="20"/>
        </w:rPr>
      </w:pPr>
      <w:r>
        <w:rPr>
          <w:rFonts w:hint="eastAsia" w:ascii="仿宋_GB2312" w:hAnsi="宋体" w:eastAsia="仿宋_GB2312" w:cs="宋体"/>
          <w:bCs/>
          <w:color w:val="000000"/>
          <w:sz w:val="20"/>
          <w:szCs w:val="20"/>
        </w:rPr>
        <w:t>（四）未经甲方书面允许，任何单位和个人不得转让和使用本项目的成果。</w:t>
      </w:r>
    </w:p>
    <w:p w14:paraId="3FDB2831">
      <w:pPr>
        <w:spacing w:after="0" w:line="560" w:lineRule="exact"/>
        <w:ind w:firstLine="402" w:firstLineChars="200"/>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七、保密制度</w:t>
      </w:r>
      <w:bookmarkEnd w:id="3"/>
      <w:bookmarkEnd w:id="4"/>
    </w:p>
    <w:p w14:paraId="6CFEA816">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（一）乙方必须按国家有关保密法律法规的要求，采取有效的保密措施，严防甲方提供给乙方的成果和资料泄密。由于乙方原因造成成果资料泄密，一切责任乙方承担。 </w:t>
      </w:r>
    </w:p>
    <w:p w14:paraId="6414C432">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（二）乙方不得利用甲方因执行本合同提供给乙方的成果和资料从事任何商业性活动。</w:t>
      </w:r>
    </w:p>
    <w:p w14:paraId="7D9844EA">
      <w:pPr>
        <w:spacing w:after="0" w:line="560" w:lineRule="exact"/>
        <w:ind w:firstLine="400" w:firstLineChars="200"/>
        <w:rPr>
          <w:rFonts w:ascii="仿宋_GB2312" w:hAnsi="宋体" w:eastAsia="仿宋_GB2312" w:cs="宋体"/>
          <w:b/>
          <w:color w:val="000000"/>
          <w:sz w:val="20"/>
          <w:szCs w:val="20"/>
        </w:rPr>
      </w:pPr>
      <w:r>
        <w:rPr>
          <w:rFonts w:hint="eastAsia" w:ascii="仿宋_GB2312" w:hAnsi="宋体" w:eastAsia="仿宋_GB2312" w:cs="宋体"/>
          <w:bCs/>
          <w:color w:val="000000"/>
          <w:sz w:val="20"/>
          <w:szCs w:val="20"/>
        </w:rPr>
        <w:t>（三）乙方应妥善保管项目相关资料及成果文件，未经甲方许可，不得复制、转让（借）、公开或销毁。乙方应与项目组所有成员签订保密协议，并将保密协议报送甲方备案。</w:t>
      </w:r>
      <w:r>
        <w:rPr>
          <w:rFonts w:hint="eastAsia" w:ascii="仿宋_GB2312" w:hAnsi="宋体" w:eastAsia="仿宋_GB2312" w:cs="宋体"/>
          <w:b/>
          <w:color w:val="000000"/>
          <w:sz w:val="20"/>
          <w:szCs w:val="20"/>
        </w:rPr>
        <w:t xml:space="preserve"> </w:t>
      </w:r>
    </w:p>
    <w:p w14:paraId="322CFBA3">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 xml:space="preserve">（四）除法律规定或合同另有约定外，未经甲方书面同意，乙方不得将甲方提供的相关资料、数据和图件泄露给第三方。 </w:t>
      </w:r>
    </w:p>
    <w:p w14:paraId="4091DB68">
      <w:pPr>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（五）本合同的解除或终止不免除乙方应承担的保密义务。</w:t>
      </w:r>
    </w:p>
    <w:p w14:paraId="5A96E435">
      <w:pPr>
        <w:spacing w:after="0" w:line="560" w:lineRule="exact"/>
        <w:ind w:firstLine="402" w:firstLineChars="200"/>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八、知识产权</w:t>
      </w:r>
    </w:p>
    <w:p w14:paraId="142399B7">
      <w:pPr>
        <w:spacing w:after="0" w:line="560" w:lineRule="exact"/>
        <w:ind w:firstLine="400" w:firstLineChars="200"/>
        <w:rPr>
          <w:rFonts w:ascii="仿宋_GB2312" w:hAnsi="宋体" w:eastAsia="仿宋_GB2312" w:cs="宋体"/>
          <w:color w:val="000000"/>
          <w:sz w:val="20"/>
          <w:szCs w:val="20"/>
        </w:rPr>
      </w:pPr>
      <w:r>
        <w:rPr>
          <w:rFonts w:hint="eastAsia" w:ascii="仿宋_GB2312" w:hAnsi="宋体" w:eastAsia="仿宋_GB2312" w:cs="宋体"/>
          <w:color w:val="000000"/>
          <w:sz w:val="20"/>
          <w:szCs w:val="20"/>
        </w:rPr>
        <w:t>乙方应保证甲方在使用本项目服务及货物时，不承担任何涉及专利、商标及知识产权等方面的法律诉讼责任。</w:t>
      </w:r>
    </w:p>
    <w:p w14:paraId="05054897">
      <w:pPr>
        <w:autoSpaceDE w:val="0"/>
        <w:autoSpaceDN w:val="0"/>
        <w:spacing w:after="0" w:line="560" w:lineRule="exact"/>
        <w:ind w:left="638" w:leftChars="304"/>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九、其他事项</w:t>
      </w:r>
    </w:p>
    <w:p w14:paraId="42C5E068">
      <w:pPr>
        <w:spacing w:after="0" w:line="560" w:lineRule="exact"/>
        <w:ind w:firstLine="400" w:firstLineChars="200"/>
        <w:rPr>
          <w:rFonts w:ascii="仿宋_GB2312" w:hAnsi="宋体" w:eastAsia="仿宋_GB2312" w:cs="宋体"/>
          <w:color w:val="000000"/>
          <w:sz w:val="20"/>
          <w:szCs w:val="20"/>
        </w:rPr>
      </w:pPr>
      <w:r>
        <w:rPr>
          <w:rFonts w:hint="eastAsia" w:ascii="仿宋_GB2312" w:hAnsi="宋体" w:eastAsia="仿宋_GB2312" w:cs="宋体"/>
          <w:color w:val="000000"/>
          <w:sz w:val="20"/>
          <w:szCs w:val="20"/>
        </w:rPr>
        <w:t>（一）乙方不得转让、分包给其它单位或个人。</w:t>
      </w:r>
    </w:p>
    <w:p w14:paraId="4C2F0D97">
      <w:pPr>
        <w:spacing w:after="0" w:line="560" w:lineRule="exact"/>
        <w:ind w:firstLine="400" w:firstLineChars="200"/>
        <w:rPr>
          <w:rFonts w:ascii="仿宋_GB2312" w:hAnsi="宋体" w:eastAsia="仿宋_GB2312" w:cs="宋体"/>
          <w:color w:val="000000"/>
          <w:sz w:val="20"/>
          <w:szCs w:val="20"/>
        </w:rPr>
      </w:pPr>
      <w:r>
        <w:rPr>
          <w:rFonts w:hint="eastAsia" w:ascii="仿宋_GB2312" w:hAnsi="宋体" w:eastAsia="仿宋_GB2312" w:cs="宋体"/>
          <w:color w:val="000000"/>
          <w:sz w:val="20"/>
          <w:szCs w:val="20"/>
        </w:rPr>
        <w:t>（二）乙方的投标文件和承诺等内容将列入合同。</w:t>
      </w:r>
    </w:p>
    <w:p w14:paraId="4238E772">
      <w:pPr>
        <w:spacing w:after="0" w:line="560" w:lineRule="exact"/>
        <w:ind w:firstLine="402" w:firstLineChars="200"/>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十、验收</w:t>
      </w:r>
    </w:p>
    <w:p w14:paraId="4D0305E8">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（一）本项目验收费用，由乙方自行承担。</w:t>
      </w:r>
    </w:p>
    <w:p w14:paraId="1646C81C">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项目完成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0ADA744D">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（三）验收依据：</w:t>
      </w:r>
    </w:p>
    <w:p w14:paraId="1DC977E3">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1.本合同及附加文本；</w:t>
      </w:r>
    </w:p>
    <w:p w14:paraId="43890036">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2.招标文件、中标人的投标文件及澄清（承诺）函；</w:t>
      </w:r>
    </w:p>
    <w:p w14:paraId="51AE5ACC">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3.国家相应的标准、规范。</w:t>
      </w:r>
    </w:p>
    <w:p w14:paraId="095F224F">
      <w:pPr>
        <w:autoSpaceDE w:val="0"/>
        <w:autoSpaceDN w:val="0"/>
        <w:spacing w:after="0" w:line="560" w:lineRule="exact"/>
        <w:ind w:firstLine="402" w:firstLineChars="200"/>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十一、违约责任</w:t>
      </w:r>
    </w:p>
    <w:p w14:paraId="2EA31CD3">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（一）按《中华人民共和国民法典》中的相关条款执行。</w:t>
      </w:r>
    </w:p>
    <w:p w14:paraId="66CC21BD">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（二）未按合同要求提供服务或服务质量不能满足本次招标要求，甲方有权单方或会同监督机构、采购代理机构终止合同和对乙方违约行为进行追究，同时按政府采购法的有关规定进行相应的处罚。</w:t>
      </w:r>
    </w:p>
    <w:p w14:paraId="35D75ECD">
      <w:pPr>
        <w:autoSpaceDE w:val="0"/>
        <w:autoSpaceDN w:val="0"/>
        <w:spacing w:after="0" w:line="560" w:lineRule="exact"/>
        <w:ind w:firstLine="630"/>
        <w:rPr>
          <w:rFonts w:ascii="仿宋_GB2312" w:hAnsi="宋体" w:eastAsia="仿宋_GB2312" w:cs="宋体"/>
          <w:color w:val="000000"/>
          <w:sz w:val="20"/>
          <w:szCs w:val="20"/>
        </w:rPr>
      </w:pPr>
      <w:r>
        <w:rPr>
          <w:rFonts w:hint="eastAsia" w:ascii="仿宋_GB2312" w:hAnsi="宋体" w:eastAsia="仿宋_GB2312" w:cs="宋体"/>
          <w:bCs/>
          <w:color w:val="000000"/>
          <w:sz w:val="20"/>
          <w:szCs w:val="20"/>
        </w:rPr>
        <w:t>（三）任何一方因不可抗力原因不能履行协议时，应尽快通知对方，双方均设法补偿。如仍无法履约协议，可协商延缓或撤销协议，双方责任免除。</w:t>
      </w:r>
    </w:p>
    <w:p w14:paraId="523750C8">
      <w:pPr>
        <w:autoSpaceDE w:val="0"/>
        <w:autoSpaceDN w:val="0"/>
        <w:spacing w:after="0" w:line="560" w:lineRule="exact"/>
        <w:ind w:firstLine="402" w:firstLineChars="200"/>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十二、合同争议解决的方式</w:t>
      </w:r>
    </w:p>
    <w:p w14:paraId="28DEAE4D">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本合同在履行过程中发生的争议，由甲、乙双方当事人协商解决，协商不成的按下列第</w:t>
      </w:r>
      <w:r>
        <w:rPr>
          <w:rFonts w:hint="eastAsia" w:ascii="仿宋_GB2312" w:hAnsi="宋体" w:eastAsia="仿宋_GB2312" w:cs="宋体"/>
          <w:bCs/>
          <w:color w:val="000000"/>
          <w:sz w:val="20"/>
          <w:szCs w:val="20"/>
          <w:u w:val="single"/>
        </w:rPr>
        <w:t>（二）</w:t>
      </w:r>
      <w:r>
        <w:rPr>
          <w:rFonts w:hint="eastAsia" w:ascii="仿宋_GB2312" w:hAnsi="宋体" w:eastAsia="仿宋_GB2312" w:cs="宋体"/>
          <w:bCs/>
          <w:color w:val="000000"/>
          <w:sz w:val="20"/>
          <w:szCs w:val="20"/>
        </w:rPr>
        <w:t>种方式解决：</w:t>
      </w:r>
    </w:p>
    <w:p w14:paraId="6F8F9949">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（一）提交西安仲裁委员会仲裁；</w:t>
      </w:r>
    </w:p>
    <w:p w14:paraId="5855C796">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（二）依法向甲方所在地法院起诉。</w:t>
      </w:r>
    </w:p>
    <w:p w14:paraId="089DF744">
      <w:pPr>
        <w:autoSpaceDE w:val="0"/>
        <w:autoSpaceDN w:val="0"/>
        <w:spacing w:after="0" w:line="560" w:lineRule="exact"/>
        <w:ind w:firstLine="402" w:firstLineChars="200"/>
        <w:rPr>
          <w:rFonts w:ascii="仿宋_GB2312" w:hAnsi="宋体" w:eastAsia="仿宋_GB2312" w:cs="宋体"/>
          <w:color w:val="000000"/>
          <w:sz w:val="20"/>
          <w:szCs w:val="20"/>
        </w:rPr>
      </w:pPr>
      <w:r>
        <w:rPr>
          <w:rFonts w:hint="eastAsia" w:ascii="仿宋_GB2312" w:hAnsi="宋体" w:eastAsia="仿宋_GB2312" w:cs="宋体"/>
          <w:b/>
          <w:color w:val="000000"/>
          <w:sz w:val="20"/>
          <w:szCs w:val="20"/>
        </w:rPr>
        <w:t>十三、合同生效</w:t>
      </w:r>
    </w:p>
    <w:p w14:paraId="7A818548">
      <w:pPr>
        <w:autoSpaceDE w:val="0"/>
        <w:autoSpaceDN w:val="0"/>
        <w:spacing w:after="0" w:line="560" w:lineRule="exact"/>
        <w:ind w:firstLine="400" w:firstLineChars="200"/>
        <w:rPr>
          <w:rFonts w:ascii="仿宋_GB2312" w:hAnsi="宋体" w:eastAsia="仿宋_GB2312" w:cs="宋体"/>
          <w:bCs/>
          <w:color w:val="000000"/>
          <w:sz w:val="20"/>
          <w:szCs w:val="20"/>
        </w:rPr>
      </w:pPr>
      <w:r>
        <w:rPr>
          <w:rFonts w:hint="eastAsia" w:ascii="仿宋_GB2312" w:hAnsi="宋体" w:eastAsia="仿宋_GB2312" w:cs="宋体"/>
          <w:bCs/>
          <w:color w:val="000000"/>
          <w:sz w:val="20"/>
          <w:szCs w:val="20"/>
        </w:rPr>
        <w:t>（一）本合同须经甲、乙双方的法定代表人（授权代表）在合同书上签字并加盖本单位公章后正式生效。</w:t>
      </w:r>
    </w:p>
    <w:p w14:paraId="013914F5">
      <w:pPr>
        <w:autoSpaceDE w:val="0"/>
        <w:autoSpaceDN w:val="0"/>
        <w:spacing w:after="0" w:line="560" w:lineRule="exact"/>
        <w:ind w:firstLine="400" w:firstLineChars="200"/>
        <w:rPr>
          <w:rFonts w:ascii="仿宋_GB2312" w:hAnsi="宋体" w:eastAsia="仿宋_GB2312" w:cs="宋体"/>
          <w:bCs/>
          <w:sz w:val="20"/>
          <w:szCs w:val="20"/>
        </w:rPr>
      </w:pPr>
      <w:r>
        <w:rPr>
          <w:rFonts w:hint="eastAsia" w:ascii="仿宋_GB2312" w:hAnsi="宋体" w:eastAsia="仿宋_GB2312" w:cs="宋体"/>
          <w:bCs/>
          <w:sz w:val="20"/>
          <w:szCs w:val="20"/>
        </w:rPr>
        <w:t>（二）合同生效后，甲、乙双方须严格执行本合同条款的规定，全面履行合同，违者按《中华人民共和国民法典》的有关规定承担相应责任。</w:t>
      </w:r>
    </w:p>
    <w:p w14:paraId="059F9523">
      <w:pPr>
        <w:autoSpaceDE w:val="0"/>
        <w:autoSpaceDN w:val="0"/>
        <w:spacing w:after="0" w:line="560" w:lineRule="exact"/>
        <w:ind w:firstLine="400" w:firstLineChars="200"/>
        <w:rPr>
          <w:rFonts w:ascii="仿宋_GB2312" w:hAnsi="宋体" w:eastAsia="仿宋_GB2312" w:cs="宋体"/>
          <w:bCs/>
          <w:sz w:val="20"/>
          <w:szCs w:val="20"/>
        </w:rPr>
      </w:pPr>
      <w:r>
        <w:rPr>
          <w:rFonts w:hint="eastAsia" w:ascii="仿宋_GB2312" w:hAnsi="宋体" w:eastAsia="仿宋_GB2312" w:cs="宋体"/>
          <w:bCs/>
          <w:sz w:val="20"/>
          <w:szCs w:val="20"/>
        </w:rPr>
        <w:t>（三）本合同一式</w:t>
      </w:r>
      <w:r>
        <w:rPr>
          <w:rFonts w:hint="eastAsia" w:ascii="仿宋_GB2312" w:hAnsi="宋体" w:eastAsia="仿宋_GB2312" w:cs="宋体"/>
          <w:bCs/>
          <w:sz w:val="20"/>
          <w:szCs w:val="20"/>
          <w:u w:val="single"/>
        </w:rPr>
        <w:t>陆</w:t>
      </w:r>
      <w:r>
        <w:rPr>
          <w:rFonts w:hint="eastAsia" w:ascii="仿宋_GB2312" w:hAnsi="宋体" w:eastAsia="仿宋_GB2312" w:cs="宋体"/>
          <w:bCs/>
          <w:sz w:val="20"/>
          <w:szCs w:val="20"/>
        </w:rPr>
        <w:t>份，甲乙双方各执</w:t>
      </w:r>
      <w:r>
        <w:rPr>
          <w:rFonts w:hint="eastAsia" w:ascii="仿宋_GB2312" w:hAnsi="宋体" w:eastAsia="仿宋_GB2312" w:cs="宋体"/>
          <w:bCs/>
          <w:sz w:val="20"/>
          <w:szCs w:val="20"/>
          <w:u w:val="single"/>
        </w:rPr>
        <w:t>叁</w:t>
      </w:r>
      <w:r>
        <w:rPr>
          <w:rFonts w:hint="eastAsia" w:ascii="仿宋_GB2312" w:hAnsi="宋体" w:eastAsia="仿宋_GB2312" w:cs="宋体"/>
          <w:bCs/>
          <w:sz w:val="20"/>
          <w:szCs w:val="20"/>
        </w:rPr>
        <w:t>份。</w:t>
      </w:r>
    </w:p>
    <w:p w14:paraId="668FC8C1">
      <w:pPr>
        <w:autoSpaceDE w:val="0"/>
        <w:autoSpaceDN w:val="0"/>
        <w:spacing w:after="0" w:line="560" w:lineRule="exact"/>
        <w:ind w:firstLine="400" w:firstLineChars="200"/>
        <w:rPr>
          <w:rFonts w:ascii="仿宋_GB2312" w:hAnsi="宋体" w:eastAsia="仿宋_GB2312" w:cs="宋体"/>
          <w:bCs/>
          <w:sz w:val="20"/>
          <w:szCs w:val="20"/>
        </w:rPr>
      </w:pPr>
      <w:r>
        <w:rPr>
          <w:rFonts w:hint="eastAsia" w:ascii="仿宋_GB2312" w:hAnsi="宋体" w:eastAsia="仿宋_GB2312" w:cs="宋体"/>
          <w:bCs/>
          <w:sz w:val="20"/>
          <w:szCs w:val="20"/>
        </w:rPr>
        <w:t>（四）本合同如有未尽事宜，甲、乙双方协商解决。</w:t>
      </w:r>
    </w:p>
    <w:p w14:paraId="0CCF68D7">
      <w:pPr>
        <w:autoSpaceDE w:val="0"/>
        <w:autoSpaceDN w:val="0"/>
        <w:spacing w:after="0" w:line="560" w:lineRule="exact"/>
        <w:ind w:firstLine="400" w:firstLineChars="200"/>
        <w:rPr>
          <w:rFonts w:ascii="仿宋_GB2312" w:hAnsi="宋体" w:eastAsia="仿宋_GB2312" w:cs="宋体"/>
          <w:sz w:val="20"/>
          <w:szCs w:val="20"/>
        </w:rPr>
      </w:pPr>
    </w:p>
    <w:tbl>
      <w:tblPr>
        <w:tblStyle w:val="5"/>
        <w:tblW w:w="8610" w:type="dxa"/>
        <w:jc w:val="center"/>
        <w:tblLayout w:type="fixed"/>
        <w:tblCellMar>
          <w:top w:w="0" w:type="dxa"/>
          <w:left w:w="108" w:type="dxa"/>
          <w:bottom w:w="0" w:type="dxa"/>
          <w:right w:w="108" w:type="dxa"/>
        </w:tblCellMar>
      </w:tblPr>
      <w:tblGrid>
        <w:gridCol w:w="4304"/>
        <w:gridCol w:w="4306"/>
      </w:tblGrid>
      <w:tr w14:paraId="4B4BD734">
        <w:tblPrEx>
          <w:tblCellMar>
            <w:top w:w="0" w:type="dxa"/>
            <w:left w:w="108" w:type="dxa"/>
            <w:bottom w:w="0" w:type="dxa"/>
            <w:right w:w="108" w:type="dxa"/>
          </w:tblCellMar>
        </w:tblPrEx>
        <w:trPr>
          <w:trHeight w:val="654" w:hRule="exact"/>
          <w:jc w:val="center"/>
        </w:trPr>
        <w:tc>
          <w:tcPr>
            <w:tcW w:w="4304" w:type="dxa"/>
            <w:noWrap w:val="0"/>
            <w:vAlign w:val="center"/>
          </w:tcPr>
          <w:p w14:paraId="6AF150CF">
            <w:pPr>
              <w:autoSpaceDE w:val="0"/>
              <w:autoSpaceDN w:val="0"/>
              <w:spacing w:after="0" w:line="560" w:lineRule="exact"/>
              <w:rPr>
                <w:rFonts w:ascii="仿宋_GB2312" w:hAnsi="宋体" w:eastAsia="仿宋_GB2312" w:cs="宋体"/>
                <w:spacing w:val="-20"/>
                <w:sz w:val="20"/>
                <w:szCs w:val="20"/>
              </w:rPr>
            </w:pPr>
            <w:r>
              <w:rPr>
                <w:rFonts w:hint="eastAsia" w:ascii="仿宋_GB2312" w:hAnsi="宋体" w:eastAsia="仿宋_GB2312" w:cs="宋体"/>
                <w:spacing w:val="-20"/>
                <w:sz w:val="20"/>
                <w:szCs w:val="20"/>
              </w:rPr>
              <w:t>甲  方</w:t>
            </w:r>
          </w:p>
        </w:tc>
        <w:tc>
          <w:tcPr>
            <w:tcW w:w="4306" w:type="dxa"/>
            <w:noWrap w:val="0"/>
            <w:vAlign w:val="center"/>
          </w:tcPr>
          <w:p w14:paraId="2B7987E1">
            <w:pPr>
              <w:autoSpaceDE w:val="0"/>
              <w:autoSpaceDN w:val="0"/>
              <w:spacing w:after="0" w:line="560" w:lineRule="exact"/>
              <w:rPr>
                <w:rFonts w:ascii="仿宋_GB2312" w:hAnsi="宋体" w:eastAsia="仿宋_GB2312" w:cs="宋体"/>
                <w:spacing w:val="-20"/>
                <w:sz w:val="20"/>
                <w:szCs w:val="20"/>
              </w:rPr>
            </w:pPr>
            <w:r>
              <w:rPr>
                <w:rFonts w:hint="eastAsia" w:ascii="仿宋_GB2312" w:hAnsi="宋体" w:eastAsia="仿宋_GB2312" w:cs="宋体"/>
                <w:spacing w:val="-20"/>
                <w:sz w:val="20"/>
                <w:szCs w:val="20"/>
              </w:rPr>
              <w:t>乙  方</w:t>
            </w:r>
          </w:p>
        </w:tc>
      </w:tr>
      <w:tr w14:paraId="5D07029A">
        <w:tblPrEx>
          <w:tblCellMar>
            <w:top w:w="0" w:type="dxa"/>
            <w:left w:w="108" w:type="dxa"/>
            <w:bottom w:w="0" w:type="dxa"/>
            <w:right w:w="108" w:type="dxa"/>
          </w:tblCellMar>
        </w:tblPrEx>
        <w:trPr>
          <w:trHeight w:val="654" w:hRule="exact"/>
          <w:jc w:val="center"/>
        </w:trPr>
        <w:tc>
          <w:tcPr>
            <w:tcW w:w="4304" w:type="dxa"/>
            <w:noWrap w:val="0"/>
            <w:vAlign w:val="center"/>
          </w:tcPr>
          <w:p w14:paraId="276D2B76">
            <w:pPr>
              <w:autoSpaceDE w:val="0"/>
              <w:autoSpaceDN w:val="0"/>
              <w:spacing w:after="0" w:line="560" w:lineRule="exact"/>
              <w:ind w:firstLine="560" w:firstLineChars="350"/>
              <w:rPr>
                <w:rFonts w:ascii="仿宋_GB2312" w:hAnsi="宋体" w:eastAsia="仿宋_GB2312" w:cs="宋体"/>
                <w:spacing w:val="-20"/>
                <w:sz w:val="20"/>
                <w:szCs w:val="20"/>
              </w:rPr>
            </w:pPr>
            <w:r>
              <w:rPr>
                <w:rFonts w:hint="eastAsia" w:ascii="仿宋_GB2312" w:hAnsi="宋体" w:eastAsia="仿宋_GB2312" w:cs="宋体"/>
                <w:spacing w:val="-20"/>
                <w:sz w:val="20"/>
                <w:szCs w:val="20"/>
              </w:rPr>
              <w:t>（盖章）</w:t>
            </w:r>
          </w:p>
        </w:tc>
        <w:tc>
          <w:tcPr>
            <w:tcW w:w="4306" w:type="dxa"/>
            <w:noWrap w:val="0"/>
            <w:vAlign w:val="center"/>
          </w:tcPr>
          <w:p w14:paraId="3E9DB830">
            <w:pPr>
              <w:autoSpaceDE w:val="0"/>
              <w:autoSpaceDN w:val="0"/>
              <w:spacing w:after="0" w:line="560" w:lineRule="exact"/>
              <w:ind w:firstLine="640" w:firstLineChars="400"/>
              <w:rPr>
                <w:rFonts w:ascii="仿宋_GB2312" w:hAnsi="宋体" w:eastAsia="仿宋_GB2312" w:cs="宋体"/>
                <w:spacing w:val="-20"/>
                <w:sz w:val="20"/>
                <w:szCs w:val="20"/>
              </w:rPr>
            </w:pPr>
            <w:r>
              <w:rPr>
                <w:rFonts w:hint="eastAsia" w:ascii="仿宋_GB2312" w:hAnsi="宋体" w:eastAsia="仿宋_GB2312" w:cs="宋体"/>
                <w:spacing w:val="-20"/>
                <w:sz w:val="20"/>
                <w:szCs w:val="20"/>
              </w:rPr>
              <w:t>（盖章）</w:t>
            </w:r>
          </w:p>
        </w:tc>
      </w:tr>
      <w:tr w14:paraId="21D0B2AA">
        <w:tblPrEx>
          <w:tblCellMar>
            <w:top w:w="0" w:type="dxa"/>
            <w:left w:w="108" w:type="dxa"/>
            <w:bottom w:w="0" w:type="dxa"/>
            <w:right w:w="108" w:type="dxa"/>
          </w:tblCellMar>
        </w:tblPrEx>
        <w:trPr>
          <w:trHeight w:val="654" w:hRule="exact"/>
          <w:jc w:val="center"/>
        </w:trPr>
        <w:tc>
          <w:tcPr>
            <w:tcW w:w="4304" w:type="dxa"/>
            <w:noWrap w:val="0"/>
            <w:vAlign w:val="center"/>
          </w:tcPr>
          <w:p w14:paraId="483033DA">
            <w:pPr>
              <w:autoSpaceDE w:val="0"/>
              <w:autoSpaceDN w:val="0"/>
              <w:spacing w:after="0" w:line="560" w:lineRule="exact"/>
              <w:rPr>
                <w:rFonts w:ascii="仿宋_GB2312" w:hAnsi="宋体" w:eastAsia="仿宋_GB2312" w:cs="宋体"/>
                <w:spacing w:val="-20"/>
                <w:sz w:val="20"/>
                <w:szCs w:val="20"/>
              </w:rPr>
            </w:pPr>
            <w:r>
              <w:rPr>
                <w:rFonts w:hint="eastAsia" w:ascii="仿宋_GB2312" w:hAnsi="宋体" w:eastAsia="仿宋_GB2312" w:cs="宋体"/>
                <w:spacing w:val="-20"/>
                <w:sz w:val="20"/>
                <w:szCs w:val="20"/>
              </w:rPr>
              <w:t>被授权代表：</w:t>
            </w:r>
          </w:p>
        </w:tc>
        <w:tc>
          <w:tcPr>
            <w:tcW w:w="4306" w:type="dxa"/>
            <w:noWrap w:val="0"/>
            <w:vAlign w:val="center"/>
          </w:tcPr>
          <w:p w14:paraId="27168AA4">
            <w:pPr>
              <w:autoSpaceDE w:val="0"/>
              <w:autoSpaceDN w:val="0"/>
              <w:spacing w:after="0" w:line="560" w:lineRule="exact"/>
              <w:rPr>
                <w:rFonts w:ascii="仿宋_GB2312" w:hAnsi="宋体" w:eastAsia="仿宋_GB2312" w:cs="宋体"/>
                <w:spacing w:val="-20"/>
                <w:sz w:val="20"/>
                <w:szCs w:val="20"/>
              </w:rPr>
            </w:pPr>
            <w:r>
              <w:rPr>
                <w:rFonts w:hint="eastAsia" w:ascii="仿宋_GB2312" w:hAnsi="宋体" w:eastAsia="仿宋_GB2312" w:cs="宋体"/>
                <w:spacing w:val="-20"/>
                <w:sz w:val="20"/>
                <w:szCs w:val="20"/>
              </w:rPr>
              <w:t>被授权代表：</w:t>
            </w:r>
          </w:p>
        </w:tc>
      </w:tr>
      <w:tr w14:paraId="33902877">
        <w:tblPrEx>
          <w:tblCellMar>
            <w:top w:w="0" w:type="dxa"/>
            <w:left w:w="108" w:type="dxa"/>
            <w:bottom w:w="0" w:type="dxa"/>
            <w:right w:w="108" w:type="dxa"/>
          </w:tblCellMar>
        </w:tblPrEx>
        <w:trPr>
          <w:trHeight w:val="654" w:hRule="exact"/>
          <w:jc w:val="center"/>
        </w:trPr>
        <w:tc>
          <w:tcPr>
            <w:tcW w:w="4304" w:type="dxa"/>
            <w:noWrap w:val="0"/>
            <w:vAlign w:val="center"/>
          </w:tcPr>
          <w:p w14:paraId="277435EB">
            <w:pPr>
              <w:autoSpaceDE w:val="0"/>
              <w:autoSpaceDN w:val="0"/>
              <w:spacing w:after="0" w:line="560" w:lineRule="exact"/>
              <w:rPr>
                <w:rFonts w:ascii="仿宋_GB2312" w:hAnsi="宋体" w:eastAsia="仿宋_GB2312" w:cs="宋体"/>
                <w:spacing w:val="-20"/>
                <w:sz w:val="20"/>
                <w:szCs w:val="20"/>
              </w:rPr>
            </w:pPr>
            <w:r>
              <w:rPr>
                <w:rFonts w:hint="eastAsia" w:ascii="仿宋_GB2312" w:hAnsi="宋体" w:eastAsia="仿宋_GB2312" w:cs="宋体"/>
                <w:spacing w:val="-20"/>
                <w:sz w:val="20"/>
                <w:szCs w:val="20"/>
              </w:rPr>
              <w:t>日期：</w:t>
            </w:r>
          </w:p>
        </w:tc>
        <w:tc>
          <w:tcPr>
            <w:tcW w:w="4306" w:type="dxa"/>
            <w:noWrap w:val="0"/>
            <w:vAlign w:val="center"/>
          </w:tcPr>
          <w:p w14:paraId="4309F8B0">
            <w:pPr>
              <w:autoSpaceDE w:val="0"/>
              <w:autoSpaceDN w:val="0"/>
              <w:spacing w:after="0" w:line="560" w:lineRule="exact"/>
              <w:rPr>
                <w:rFonts w:ascii="仿宋_GB2312" w:hAnsi="宋体" w:eastAsia="仿宋_GB2312" w:cs="宋体"/>
                <w:spacing w:val="-20"/>
                <w:sz w:val="20"/>
                <w:szCs w:val="20"/>
              </w:rPr>
            </w:pPr>
            <w:r>
              <w:rPr>
                <w:rFonts w:hint="eastAsia" w:ascii="仿宋_GB2312" w:hAnsi="宋体" w:eastAsia="仿宋_GB2312" w:cs="宋体"/>
                <w:spacing w:val="-20"/>
                <w:sz w:val="20"/>
                <w:szCs w:val="20"/>
              </w:rPr>
              <w:t>日期：</w:t>
            </w:r>
          </w:p>
        </w:tc>
      </w:tr>
    </w:tbl>
    <w:p w14:paraId="0DB86D7C">
      <w:pPr>
        <w:pStyle w:val="8"/>
        <w:spacing w:line="560" w:lineRule="exact"/>
        <w:rPr>
          <w:rFonts w:ascii="仿宋_GB2312" w:eastAsia="仿宋_GB2312"/>
          <w:sz w:val="20"/>
          <w:szCs w:val="20"/>
        </w:rPr>
      </w:pPr>
    </w:p>
    <w:p w14:paraId="54B735D0">
      <w:pPr>
        <w:spacing w:after="0" w:line="560" w:lineRule="exact"/>
        <w:rPr>
          <w:rFonts w:ascii="仿宋_GB2312" w:eastAsia="仿宋_GB2312"/>
          <w:sz w:val="20"/>
          <w:szCs w:val="20"/>
        </w:rPr>
      </w:pPr>
    </w:p>
    <w:p w14:paraId="0FD42BFE">
      <w:pPr>
        <w:spacing w:before="92" w:line="230" w:lineRule="exact"/>
        <w:rPr>
          <w:rFonts w:ascii="Lucida Sans Unicode" w:hAnsi="Lucida Sans Unicode" w:eastAsia="Lucida Sans Unicode" w:cs="Lucida Sans Unicode"/>
          <w:sz w:val="24"/>
          <w:szCs w:val="24"/>
        </w:rPr>
      </w:pPr>
    </w:p>
    <w:p w14:paraId="2480824E"/>
    <w:sectPr>
      <w:footerReference r:id="rId5" w:type="default"/>
      <w:pgSz w:w="11906" w:h="16838"/>
      <w:pgMar w:top="2098" w:right="1474" w:bottom="1985" w:left="1588" w:header="709" w:footer="709"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roma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0F890">
    <w:pPr>
      <w:pStyle w:val="3"/>
      <w:jc w:val="center"/>
    </w:pPr>
  </w:p>
  <w:p w14:paraId="7BB994BF">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EB2934"/>
    <w:multiLevelType w:val="multilevel"/>
    <w:tmpl w:val="65EB2934"/>
    <w:lvl w:ilvl="0" w:tentative="0">
      <w:start w:val="1"/>
      <w:numFmt w:val="japaneseCounting"/>
      <w:lvlText w:val="%1、"/>
      <w:lvlJc w:val="left"/>
      <w:pPr>
        <w:ind w:left="1363" w:hanging="7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317FF"/>
    <w:rsid w:val="699E14D7"/>
    <w:rsid w:val="6D7218C3"/>
    <w:rsid w:val="76C317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paragraph" w:styleId="7">
    <w:name w:val="List Paragraph"/>
    <w:basedOn w:val="1"/>
    <w:qFormat/>
    <w:uiPriority w:val="34"/>
    <w:pPr>
      <w:ind w:firstLine="420" w:firstLineChars="200"/>
    </w:p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2757</Words>
  <Characters>2804</Characters>
  <Lines>0</Lines>
  <Paragraphs>0</Paragraphs>
  <TotalTime>0</TotalTime>
  <ScaleCrop>false</ScaleCrop>
  <LinksUpToDate>false</LinksUpToDate>
  <CharactersWithSpaces>2951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2025-07-16T09:18:00Z</dcterms:created>
  <dc:creator>华中秦集团</dc:creator>
  <cp:lastModifiedBy>华中秦集团</cp:lastModifiedBy>
  <dcterms:modified xsi:type="dcterms:W3CDTF">2025-07-16T09:21:44Z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3AF5B69882F14766BD4E88E83AD8D1A7_13</vt:lpwstr>
  </property>
  <property fmtid="{D5CDD505-2E9C-101B-9397-08002B2CF9AE}" pid="4" name="KSOTemplateDocerSaveRecord">
    <vt:lpwstr>eyJoZGlkIjoiZTNjYThkYWJkZjFmY2M0OGRmZmFmNzBkYmU4ZTczNDQiLCJ1c2VySWQiOiIxNTQ5MzM1ODc0In0=</vt:lpwstr>
  </property>
</Properties>
</file>